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5AF5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bCs/>
          <w:color w:val="auto"/>
          <w:sz w:val="36"/>
          <w:szCs w:val="44"/>
          <w:highlight w:val="none"/>
          <w:lang w:eastAsia="zh-CN"/>
        </w:rPr>
      </w:pPr>
      <w:r>
        <w:rPr>
          <w:rFonts w:hint="eastAsia" w:ascii="仿宋" w:hAnsi="仿宋" w:eastAsia="仿宋" w:cs="仿宋"/>
          <w:b/>
          <w:bCs/>
          <w:color w:val="auto"/>
          <w:kern w:val="0"/>
          <w:sz w:val="36"/>
          <w:szCs w:val="36"/>
          <w:highlight w:val="none"/>
          <w:lang w:val="en-US" w:eastAsia="zh-CN"/>
        </w:rPr>
        <w:t>招标</w:t>
      </w:r>
      <w:r>
        <w:rPr>
          <w:rFonts w:hint="eastAsia" w:ascii="仿宋" w:hAnsi="仿宋" w:eastAsia="仿宋" w:cs="仿宋"/>
          <w:b/>
          <w:bCs/>
          <w:color w:val="auto"/>
          <w:kern w:val="0"/>
          <w:sz w:val="36"/>
          <w:szCs w:val="36"/>
          <w:highlight w:val="none"/>
        </w:rPr>
        <w:t>文件补充文件</w:t>
      </w:r>
      <w:r>
        <w:rPr>
          <w:rFonts w:hint="eastAsia" w:ascii="仿宋" w:hAnsi="仿宋" w:eastAsia="仿宋" w:cs="仿宋"/>
          <w:b/>
          <w:bCs/>
          <w:color w:val="auto"/>
          <w:kern w:val="0"/>
          <w:sz w:val="36"/>
          <w:szCs w:val="36"/>
          <w:highlight w:val="none"/>
          <w:lang w:eastAsia="zh-CN"/>
        </w:rPr>
        <w:t>（</w:t>
      </w:r>
      <w:r>
        <w:rPr>
          <w:rFonts w:hint="eastAsia" w:ascii="仿宋" w:hAnsi="仿宋" w:eastAsia="仿宋" w:cs="仿宋"/>
          <w:b/>
          <w:bCs/>
          <w:color w:val="auto"/>
          <w:kern w:val="0"/>
          <w:sz w:val="36"/>
          <w:szCs w:val="36"/>
          <w:highlight w:val="none"/>
          <w:lang w:val="en-US" w:eastAsia="zh-CN"/>
        </w:rPr>
        <w:t>澄清</w:t>
      </w:r>
      <w:r>
        <w:rPr>
          <w:rFonts w:hint="eastAsia" w:ascii="仿宋" w:hAnsi="仿宋" w:eastAsia="仿宋" w:cs="仿宋"/>
          <w:b/>
          <w:bCs/>
          <w:color w:val="auto"/>
          <w:kern w:val="0"/>
          <w:sz w:val="36"/>
          <w:szCs w:val="36"/>
          <w:highlight w:val="none"/>
          <w:lang w:eastAsia="zh-CN"/>
        </w:rPr>
        <w:t>）</w:t>
      </w:r>
    </w:p>
    <w:p w14:paraId="464B0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项目名称：</w:t>
      </w:r>
      <w:r>
        <w:rPr>
          <w:rFonts w:hint="eastAsia" w:ascii="仿宋" w:hAnsi="仿宋" w:eastAsia="仿宋" w:cs="仿宋"/>
          <w:color w:val="auto"/>
          <w:kern w:val="0"/>
          <w:sz w:val="21"/>
          <w:szCs w:val="21"/>
          <w:highlight w:val="none"/>
          <w:lang w:eastAsia="zh-CN"/>
        </w:rPr>
        <w:t>临平公园游乐场、动物园更新提升及运营项目游乐设备采购项目</w:t>
      </w:r>
    </w:p>
    <w:p w14:paraId="298B54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项目</w:t>
      </w:r>
      <w:r>
        <w:rPr>
          <w:rFonts w:hint="eastAsia" w:ascii="仿宋" w:hAnsi="仿宋" w:eastAsia="仿宋" w:cs="仿宋"/>
          <w:color w:val="auto"/>
          <w:kern w:val="0"/>
          <w:sz w:val="21"/>
          <w:szCs w:val="21"/>
          <w:highlight w:val="none"/>
        </w:rPr>
        <w:t>编号：</w:t>
      </w:r>
      <w:r>
        <w:rPr>
          <w:rFonts w:hint="eastAsia" w:ascii="仿宋" w:hAnsi="仿宋" w:eastAsia="仿宋" w:cs="仿宋"/>
          <w:color w:val="auto"/>
          <w:kern w:val="0"/>
          <w:sz w:val="21"/>
          <w:szCs w:val="21"/>
          <w:highlight w:val="none"/>
          <w:lang w:eastAsia="zh-CN"/>
        </w:rPr>
        <w:t>CTZB-2025050185</w:t>
      </w:r>
    </w:p>
    <w:p w14:paraId="50FFB9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各</w:t>
      </w:r>
      <w:r>
        <w:rPr>
          <w:rFonts w:hint="eastAsia" w:ascii="仿宋" w:hAnsi="仿宋" w:eastAsia="仿宋" w:cs="仿宋"/>
          <w:color w:val="auto"/>
          <w:kern w:val="0"/>
          <w:sz w:val="21"/>
          <w:szCs w:val="21"/>
          <w:highlight w:val="none"/>
          <w:lang w:val="en-US" w:eastAsia="zh-CN"/>
        </w:rPr>
        <w:t>投标人</w:t>
      </w:r>
      <w:r>
        <w:rPr>
          <w:rFonts w:hint="eastAsia" w:ascii="仿宋" w:hAnsi="仿宋" w:eastAsia="仿宋" w:cs="仿宋"/>
          <w:color w:val="auto"/>
          <w:kern w:val="0"/>
          <w:sz w:val="21"/>
          <w:szCs w:val="21"/>
          <w:highlight w:val="none"/>
        </w:rPr>
        <w:t>：</w:t>
      </w:r>
    </w:p>
    <w:p w14:paraId="0F90C887">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招标人收到投标人要求澄清招标文件的提疑，现对提疑作如下澄清：</w:t>
      </w:r>
    </w:p>
    <w:p w14:paraId="7D6394EA">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“备份投标文件”采用U盘介质存储，在投标截止时间前以EMS邮寄或派人现场递交形式密封提交。</w:t>
      </w:r>
    </w:p>
    <w:p w14:paraId="3589C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根据以往投标的备份投标文件不是强制性递交，况且“4.1.7投标文件递交允许的其他方式：不允许，”表明电子加密投标文件为最重要的。此次投标是否可对备份投标文件不作强制要求？是否可以以发送电子邮件方式递交备份投标文件，同时也保证足够的制作投标文件时间和节约人力物力成本？</w:t>
      </w:r>
    </w:p>
    <w:p w14:paraId="23008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回复：本次招标不强制要求投标人递交备份投标文件，如投标人递交备份投标文件请按照招标文件规定的方式递交。</w:t>
      </w:r>
    </w:p>
    <w:p w14:paraId="321700D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递交截止时间：2025年05月29日13时30分00秒。</w:t>
      </w:r>
    </w:p>
    <w:p w14:paraId="483E3F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货物实行招标方式采购的，自招标文件开始发出之日起至投标人提交投标文件截止之日不得少于二十日。依据本次招标文件规定的获取时间2025年5月16日起、投标人要求澄清招标文件截止时间2025年5月26日18时，再考虑本次投标需提供产品设计方案和邮寄备份文件或派人现场递交备份投标文件，此次招标的开标时间应该保证充足。按规定递交截止时间应该在2025年6月4日左右，特别还应考虑澄清文件内容有否影响投标人合理编制投标文件的时间。</w:t>
      </w:r>
    </w:p>
    <w:p w14:paraId="23D11B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回复：按招标文件要求执行。</w:t>
      </w:r>
    </w:p>
    <w:p w14:paraId="56E4601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投标文件格式部分标段二报价一览表，报价评审是否还需提供按招标需求中针对主要部件名称分别列清楚明细报价清单，即是否还需提供分项部件明细报价表？</w:t>
      </w:r>
    </w:p>
    <w:p w14:paraId="78622B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both"/>
        <w:textAlignment w:val="auto"/>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回复：招标文件不强制要求提供“分项部件明细报价表”，投标人自行考虑是否提供，如提供格式自拟。</w:t>
      </w:r>
    </w:p>
    <w:p w14:paraId="59285D7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 xml:space="preserve">第三章 评标办法 根据投标人提供的产品设计方案，包括①所投产品介绍、产品特点、设计思路等内容；②可玩性和功能需求；③与拟安装场地及周边环境现状的融合性等进行综合打分。 </w:t>
      </w:r>
    </w:p>
    <w:p w14:paraId="449A9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既然要设计，就须提供最终的场地平面布局CAD图，标明红线范围、描述周边环境现状等，请对招标文件予以补充满足设计的有关资料？</w:t>
      </w:r>
    </w:p>
    <w:p w14:paraId="0A7309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回复：提供平台结构图和设备平面总图（见附件），同时投标人可自行踏勘现场。</w:t>
      </w:r>
    </w:p>
    <w:p w14:paraId="0D37B89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default" w:ascii="仿宋" w:hAnsi="仿宋" w:eastAsia="仿宋" w:cs="仿宋"/>
          <w:b w:val="0"/>
          <w:bCs w:val="0"/>
          <w:color w:val="auto"/>
          <w:kern w:val="2"/>
          <w:sz w:val="21"/>
          <w:szCs w:val="21"/>
          <w:lang w:val="en-US" w:eastAsia="zh-CN" w:bidi="ar-SA"/>
        </w:rPr>
      </w:pPr>
      <w:r>
        <w:rPr>
          <w:rFonts w:hint="default" w:ascii="仿宋" w:hAnsi="仿宋" w:eastAsia="仿宋" w:cs="仿宋"/>
          <w:b w:val="0"/>
          <w:bCs w:val="0"/>
          <w:color w:val="auto"/>
          <w:kern w:val="2"/>
          <w:sz w:val="21"/>
          <w:szCs w:val="21"/>
          <w:lang w:val="en-US" w:eastAsia="zh-CN" w:bidi="ar-SA"/>
        </w:rPr>
        <w:t>第四章采购合同 原基础拆除及新基础建设的费用-税金税率为9%。</w:t>
      </w:r>
    </w:p>
    <w:p w14:paraId="703FC1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default" w:ascii="仿宋" w:hAnsi="仿宋" w:eastAsia="仿宋" w:cs="仿宋"/>
          <w:b w:val="0"/>
          <w:bCs w:val="0"/>
          <w:color w:val="auto"/>
          <w:kern w:val="2"/>
          <w:sz w:val="21"/>
          <w:szCs w:val="21"/>
          <w:lang w:val="en-US" w:eastAsia="zh-CN" w:bidi="ar-SA"/>
        </w:rPr>
      </w:pPr>
      <w:r>
        <w:rPr>
          <w:rFonts w:hint="default" w:ascii="仿宋" w:hAnsi="仿宋" w:eastAsia="仿宋" w:cs="仿宋"/>
          <w:b w:val="0"/>
          <w:bCs w:val="0"/>
          <w:color w:val="auto"/>
          <w:kern w:val="2"/>
          <w:sz w:val="21"/>
          <w:szCs w:val="21"/>
          <w:lang w:val="en-US" w:eastAsia="zh-CN" w:bidi="ar-SA"/>
        </w:rPr>
        <w:t>投标人须知前附表允许涉及土建施工的专业工程，中标人可将该部分工作内容分包给获得相关专业承包资质的单位负责。我中标人是游乐设备厂家，可以开具游乐设备产品税率13%的发票和基础建设费用税率9%的发票。届时是否分开开具发票即可？</w:t>
      </w:r>
    </w:p>
    <w:p w14:paraId="2F1EC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回复：可以。</w:t>
      </w:r>
    </w:p>
    <w:p w14:paraId="54B661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履约保证金形式：银行转账。金额：合同总价的5%。时间：中标通知书发出后10个工作日内。</w:t>
      </w:r>
    </w:p>
    <w:p w14:paraId="15CB7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注：项目验收合格后履约保证金自动转为质量保证金。质保金在质保期结束且中标人履行全部质保期服务义务后30天内结算退回。</w:t>
      </w:r>
    </w:p>
    <w:p w14:paraId="1258A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付款条件：</w:t>
      </w:r>
    </w:p>
    <w:p w14:paraId="6A351E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(1)合同签订生效后且招标人收到履约保证金后，招标人向投标人支付合同总价30%的预付款。</w:t>
      </w:r>
    </w:p>
    <w:p w14:paraId="5C415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(2)设备运达现场后支付设备费用的40%。</w:t>
      </w:r>
    </w:p>
    <w:p w14:paraId="47F16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(3)设备安装调试完毕验收合格后支付设备费用的30%。</w:t>
      </w:r>
    </w:p>
    <w:p w14:paraId="243CE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每次付款前，由供应商提供全额的增值税专用发票。</w:t>
      </w:r>
    </w:p>
    <w:p w14:paraId="449B73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问：付款条件是否可以改为（1）合同签订生效后且招标人收到履约保证金后，招标人向投标人支付合同总价30%的预付款。（2）设备发货前支付合同总价的50%，接受发货前到工厂验货。（3）设备安装调试完毕验收合格后支付合同总价的20%。</w:t>
      </w:r>
    </w:p>
    <w:p w14:paraId="7DF83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highlight w:val="none"/>
          <w:lang w:val="en-US" w:eastAsia="zh-CN" w:bidi="ar-SA"/>
        </w:rPr>
        <w:t>回复：按招标文件要求执行</w:t>
      </w:r>
      <w:r>
        <w:rPr>
          <w:rFonts w:hint="eastAsia" w:ascii="仿宋" w:hAnsi="仿宋" w:eastAsia="仿宋" w:cs="仿宋"/>
          <w:b/>
          <w:bCs/>
          <w:color w:val="auto"/>
          <w:kern w:val="2"/>
          <w:sz w:val="21"/>
          <w:szCs w:val="21"/>
          <w:lang w:val="en-US" w:eastAsia="zh-CN" w:bidi="ar-SA"/>
        </w:rPr>
        <w:t>。</w:t>
      </w:r>
      <w:bookmarkStart w:id="0" w:name="_GoBack"/>
      <w:bookmarkEnd w:id="0"/>
    </w:p>
    <w:p w14:paraId="7228526D">
      <w:pPr>
        <w:widowControl/>
        <w:spacing w:line="360" w:lineRule="auto"/>
        <w:ind w:firstLine="420"/>
        <w:jc w:val="left"/>
        <w:rPr>
          <w:rFonts w:hint="default" w:ascii="仿宋" w:hAnsi="仿宋" w:eastAsia="仿宋" w:cs="仿宋"/>
          <w:color w:val="auto"/>
          <w:kern w:val="0"/>
          <w:sz w:val="21"/>
          <w:szCs w:val="21"/>
          <w:highlight w:val="none"/>
          <w:u w:val="none"/>
          <w:lang w:val="en-US" w:eastAsia="zh-CN"/>
        </w:rPr>
      </w:pPr>
      <w:r>
        <w:rPr>
          <w:rFonts w:hint="eastAsia" w:ascii="仿宋" w:hAnsi="仿宋" w:eastAsia="仿宋" w:cs="仿宋"/>
          <w:color w:val="auto"/>
          <w:kern w:val="0"/>
          <w:sz w:val="21"/>
          <w:szCs w:val="21"/>
          <w:highlight w:val="none"/>
          <w:u w:val="thick"/>
          <w:lang w:val="en-US" w:eastAsia="zh-CN"/>
        </w:rPr>
        <w:t xml:space="preserve">以下无实质性澄清内容。                                                           </w:t>
      </w:r>
    </w:p>
    <w:p w14:paraId="4C14F221">
      <w:pPr>
        <w:widowControl/>
        <w:spacing w:line="360" w:lineRule="auto"/>
        <w:ind w:firstLine="420"/>
        <w:jc w:val="left"/>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 xml:space="preserve">  </w:t>
      </w:r>
    </w:p>
    <w:p w14:paraId="39AA2305">
      <w:pPr>
        <w:keepNext w:val="0"/>
        <w:keepLines w:val="0"/>
        <w:pageBreakBefore w:val="0"/>
        <w:widowControl/>
        <w:kinsoku/>
        <w:wordWrap/>
        <w:overflowPunct/>
        <w:topLinePunct w:val="0"/>
        <w:autoSpaceDE/>
        <w:autoSpaceDN/>
        <w:bidi w:val="0"/>
        <w:adjustRightInd/>
        <w:snapToGrid/>
        <w:spacing w:line="240" w:lineRule="auto"/>
        <w:ind w:firstLine="0"/>
        <w:jc w:val="right"/>
        <w:textAlignment w:val="auto"/>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浙江临平艺创文化旅游管理有限公司</w:t>
      </w:r>
    </w:p>
    <w:p w14:paraId="576C6A05">
      <w:pPr>
        <w:keepNext w:val="0"/>
        <w:keepLines w:val="0"/>
        <w:pageBreakBefore w:val="0"/>
        <w:widowControl/>
        <w:kinsoku/>
        <w:wordWrap/>
        <w:overflowPunct/>
        <w:topLinePunct w:val="0"/>
        <w:autoSpaceDE/>
        <w:autoSpaceDN/>
        <w:bidi w:val="0"/>
        <w:adjustRightInd/>
        <w:snapToGrid/>
        <w:spacing w:line="240" w:lineRule="auto"/>
        <w:ind w:firstLine="0"/>
        <w:jc w:val="right"/>
        <w:textAlignment w:val="auto"/>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浙江省成套招标代理有限公司</w:t>
      </w:r>
    </w:p>
    <w:p w14:paraId="625C3ABE">
      <w:pPr>
        <w:keepNext w:val="0"/>
        <w:keepLines w:val="0"/>
        <w:pageBreakBefore w:val="0"/>
        <w:widowControl/>
        <w:kinsoku/>
        <w:wordWrap/>
        <w:overflowPunct/>
        <w:topLinePunct w:val="0"/>
        <w:autoSpaceDE/>
        <w:autoSpaceDN/>
        <w:bidi w:val="0"/>
        <w:adjustRightInd/>
        <w:snapToGrid/>
        <w:spacing w:line="240" w:lineRule="auto"/>
        <w:ind w:firstLine="0"/>
        <w:jc w:val="right"/>
        <w:textAlignment w:val="auto"/>
        <w:rPr>
          <w:rFonts w:hint="eastAsia" w:ascii="仿宋" w:hAnsi="仿宋" w:eastAsia="仿宋" w:cs="仿宋"/>
          <w:color w:val="auto"/>
          <w:kern w:val="0"/>
          <w:sz w:val="24"/>
          <w:highlight w:val="none"/>
          <w:u w:val="none"/>
        </w:rPr>
      </w:pPr>
      <w:r>
        <w:rPr>
          <w:rFonts w:hint="eastAsia" w:ascii="仿宋" w:hAnsi="仿宋" w:eastAsia="仿宋" w:cs="仿宋"/>
          <w:color w:val="auto"/>
          <w:kern w:val="0"/>
          <w:sz w:val="24"/>
          <w:highlight w:val="none"/>
          <w:u w:val="none"/>
        </w:rPr>
        <w:t>2025年05月2</w:t>
      </w:r>
      <w:r>
        <w:rPr>
          <w:rFonts w:hint="eastAsia" w:ascii="仿宋" w:hAnsi="仿宋" w:eastAsia="仿宋" w:cs="仿宋"/>
          <w:color w:val="auto"/>
          <w:kern w:val="0"/>
          <w:sz w:val="24"/>
          <w:highlight w:val="none"/>
          <w:u w:val="none"/>
          <w:lang w:val="en-US" w:eastAsia="zh-CN"/>
        </w:rPr>
        <w:t>1</w:t>
      </w:r>
      <w:r>
        <w:rPr>
          <w:rFonts w:hint="eastAsia" w:ascii="仿宋" w:hAnsi="仿宋" w:eastAsia="仿宋" w:cs="仿宋"/>
          <w:color w:val="auto"/>
          <w:kern w:val="0"/>
          <w:sz w:val="24"/>
          <w:highlight w:val="none"/>
          <w:u w:val="none"/>
        </w:rPr>
        <w:t>日</w:t>
      </w:r>
    </w:p>
    <w:p w14:paraId="07D99F4C">
      <w:pPr>
        <w:widowControl/>
        <w:spacing w:line="360" w:lineRule="auto"/>
        <w:ind w:firstLine="420"/>
        <w:jc w:val="left"/>
        <w:rPr>
          <w:rFonts w:hint="eastAsia" w:ascii="仿宋" w:hAnsi="仿宋" w:eastAsia="仿宋" w:cs="仿宋"/>
          <w:color w:val="auto"/>
          <w:kern w:val="0"/>
          <w:sz w:val="24"/>
          <w:highlight w:val="none"/>
          <w:u w:val="thick"/>
        </w:rPr>
      </w:pPr>
    </w:p>
    <w:p w14:paraId="311A4B5F">
      <w:pPr>
        <w:rPr>
          <w:rFonts w:hint="eastAsia" w:ascii="仿宋" w:hAnsi="仿宋" w:eastAsia="仿宋" w:cs="仿宋"/>
          <w:b/>
          <w:bCs/>
          <w:color w:val="auto"/>
          <w:kern w:val="0"/>
          <w:sz w:val="24"/>
          <w:highlight w:val="none"/>
        </w:rPr>
      </w:pPr>
    </w:p>
    <w:sectPr>
      <w:headerReference r:id="rId3" w:type="default"/>
      <w:footerReference r:id="rId4" w:type="default"/>
      <w:pgSz w:w="11906" w:h="16838"/>
      <w:pgMar w:top="1440" w:right="118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angSong-Z02S">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Songti SC Bold">
    <w:panose1 w:val="02010800040101010101"/>
    <w:charset w:val="86"/>
    <w:family w:val="auto"/>
    <w:pitch w:val="default"/>
    <w:sig w:usb0="00000001" w:usb1="080F0000" w:usb2="00000000" w:usb3="00000000" w:csb0="00040000" w:csb1="00000000"/>
  </w:font>
  <w:font w:name="Songti SC">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DA4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5C8B6">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65C8B6">
                    <w:pPr>
                      <w:pStyle w:val="9"/>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4E8FF">
    <w:pPr>
      <w:jc w:val="center"/>
      <w:rPr>
        <w:rFonts w:hint="eastAsia" w:eastAsiaTheme="minorEastAsia"/>
        <w:sz w:val="18"/>
        <w:szCs w:val="18"/>
        <w:lang w:eastAsia="zh-CN"/>
      </w:rPr>
    </w:pPr>
    <w:r>
      <w:rPr>
        <w:rFonts w:hint="eastAsia"/>
        <w:sz w:val="18"/>
        <w:szCs w:val="18"/>
        <w:lang w:val="en-US" w:eastAsia="zh-CN"/>
      </w:rPr>
      <w:t>临平公园游乐场、动物园更新提升及运营项目游乐设备采购项目招标</w:t>
    </w:r>
    <w:r>
      <w:rPr>
        <w:rFonts w:hint="eastAsia"/>
        <w:sz w:val="18"/>
        <w:szCs w:val="18"/>
      </w:rPr>
      <w:t>文件补充文件</w:t>
    </w:r>
    <w:r>
      <w:rPr>
        <w:rFonts w:hint="eastAsia"/>
        <w:sz w:val="18"/>
        <w:szCs w:val="18"/>
        <w:lang w:eastAsia="zh-CN"/>
      </w:rPr>
      <w:t>（澄清）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9A386"/>
    <w:multiLevelType w:val="singleLevel"/>
    <w:tmpl w:val="F759A386"/>
    <w:lvl w:ilvl="0" w:tentative="0">
      <w:start w:val="1"/>
      <w:numFmt w:val="decimal"/>
      <w:lvlText w:val="%1."/>
      <w:lvlJc w:val="left"/>
      <w:pPr>
        <w:tabs>
          <w:tab w:val="left" w:pos="312"/>
        </w:tabs>
      </w:pPr>
      <w:rPr>
        <w:rFonts w:hint="default" w:ascii="仿宋" w:hAnsi="仿宋" w:eastAsia="仿宋" w:cs="仿宋"/>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NDQ1M2U4MWZlNmEzODYzNGIyNDM5ZmNkYzkzNGUifQ=="/>
  </w:docVars>
  <w:rsids>
    <w:rsidRoot w:val="554D7317"/>
    <w:rsid w:val="00031002"/>
    <w:rsid w:val="00042736"/>
    <w:rsid w:val="000B37FA"/>
    <w:rsid w:val="000C791D"/>
    <w:rsid w:val="001A56BC"/>
    <w:rsid w:val="002F17B9"/>
    <w:rsid w:val="00332881"/>
    <w:rsid w:val="003A4C91"/>
    <w:rsid w:val="004419BB"/>
    <w:rsid w:val="00610BC6"/>
    <w:rsid w:val="00716C49"/>
    <w:rsid w:val="00761055"/>
    <w:rsid w:val="00762EF3"/>
    <w:rsid w:val="007B4FC9"/>
    <w:rsid w:val="007B5D31"/>
    <w:rsid w:val="00806A60"/>
    <w:rsid w:val="008208EC"/>
    <w:rsid w:val="00891E60"/>
    <w:rsid w:val="00D304F6"/>
    <w:rsid w:val="00D50843"/>
    <w:rsid w:val="00E01298"/>
    <w:rsid w:val="00E03B44"/>
    <w:rsid w:val="02022FDE"/>
    <w:rsid w:val="03DF22AB"/>
    <w:rsid w:val="055E3408"/>
    <w:rsid w:val="0598292F"/>
    <w:rsid w:val="080737D2"/>
    <w:rsid w:val="08A74C78"/>
    <w:rsid w:val="096749F8"/>
    <w:rsid w:val="0AE06F57"/>
    <w:rsid w:val="0DCD5CF5"/>
    <w:rsid w:val="0EC72061"/>
    <w:rsid w:val="11077C3F"/>
    <w:rsid w:val="125118D8"/>
    <w:rsid w:val="140F4604"/>
    <w:rsid w:val="14295B3D"/>
    <w:rsid w:val="169765DD"/>
    <w:rsid w:val="17311797"/>
    <w:rsid w:val="17CFF576"/>
    <w:rsid w:val="1B980EC0"/>
    <w:rsid w:val="1F554EA6"/>
    <w:rsid w:val="1FD06F44"/>
    <w:rsid w:val="215D04AF"/>
    <w:rsid w:val="22B31094"/>
    <w:rsid w:val="24CE6987"/>
    <w:rsid w:val="2669448D"/>
    <w:rsid w:val="26CC5575"/>
    <w:rsid w:val="26F708AF"/>
    <w:rsid w:val="27312C86"/>
    <w:rsid w:val="2C870309"/>
    <w:rsid w:val="2D7C66F4"/>
    <w:rsid w:val="2D961A5A"/>
    <w:rsid w:val="2E3338AE"/>
    <w:rsid w:val="32C75EFA"/>
    <w:rsid w:val="33106A21"/>
    <w:rsid w:val="33300F3A"/>
    <w:rsid w:val="33BC6B54"/>
    <w:rsid w:val="34793AB8"/>
    <w:rsid w:val="38936721"/>
    <w:rsid w:val="3BE86E9B"/>
    <w:rsid w:val="3C071316"/>
    <w:rsid w:val="3C4227FA"/>
    <w:rsid w:val="3CFEB527"/>
    <w:rsid w:val="3F6FC864"/>
    <w:rsid w:val="46916FAB"/>
    <w:rsid w:val="49BF4705"/>
    <w:rsid w:val="4A0B180A"/>
    <w:rsid w:val="4AE42188"/>
    <w:rsid w:val="4DFF36B7"/>
    <w:rsid w:val="4E30182B"/>
    <w:rsid w:val="4FF96941"/>
    <w:rsid w:val="505A414B"/>
    <w:rsid w:val="52917F04"/>
    <w:rsid w:val="53DF0F92"/>
    <w:rsid w:val="53FA5565"/>
    <w:rsid w:val="542C2BB3"/>
    <w:rsid w:val="554D7317"/>
    <w:rsid w:val="56F7593A"/>
    <w:rsid w:val="576A2A02"/>
    <w:rsid w:val="57EB0DFC"/>
    <w:rsid w:val="58E7675E"/>
    <w:rsid w:val="594F4AB0"/>
    <w:rsid w:val="597B2879"/>
    <w:rsid w:val="598E0B7F"/>
    <w:rsid w:val="5A6362BA"/>
    <w:rsid w:val="5B1F4834"/>
    <w:rsid w:val="5C205396"/>
    <w:rsid w:val="5EAEEDBE"/>
    <w:rsid w:val="5FA705A7"/>
    <w:rsid w:val="60472760"/>
    <w:rsid w:val="638712CD"/>
    <w:rsid w:val="66F323AE"/>
    <w:rsid w:val="672766F9"/>
    <w:rsid w:val="67B40427"/>
    <w:rsid w:val="69FEC2FF"/>
    <w:rsid w:val="6A60530A"/>
    <w:rsid w:val="6AFE402D"/>
    <w:rsid w:val="6D880FD7"/>
    <w:rsid w:val="6ED569AD"/>
    <w:rsid w:val="70B50820"/>
    <w:rsid w:val="723472C3"/>
    <w:rsid w:val="727E67EB"/>
    <w:rsid w:val="763444AF"/>
    <w:rsid w:val="769EBF93"/>
    <w:rsid w:val="777E39BB"/>
    <w:rsid w:val="77EF2D5E"/>
    <w:rsid w:val="7802580D"/>
    <w:rsid w:val="791A3BBB"/>
    <w:rsid w:val="7CF6D462"/>
    <w:rsid w:val="7D2E4246"/>
    <w:rsid w:val="7F66EB71"/>
    <w:rsid w:val="7FCFA88B"/>
    <w:rsid w:val="7FDF1EC4"/>
    <w:rsid w:val="7FFF00FF"/>
    <w:rsid w:val="89FB8352"/>
    <w:rsid w:val="AF9D0CF5"/>
    <w:rsid w:val="BF242118"/>
    <w:rsid w:val="BFBF39F7"/>
    <w:rsid w:val="C7C5E357"/>
    <w:rsid w:val="CEFB727A"/>
    <w:rsid w:val="D5772C70"/>
    <w:rsid w:val="D7FF3FE5"/>
    <w:rsid w:val="DFFF1B23"/>
    <w:rsid w:val="EDF1BB4C"/>
    <w:rsid w:val="F3D7D4C8"/>
    <w:rsid w:val="F5F63C34"/>
    <w:rsid w:val="F6FFEA2B"/>
    <w:rsid w:val="FF1D5C78"/>
    <w:rsid w:val="FFB2E8EF"/>
    <w:rsid w:val="FFEAAF34"/>
    <w:rsid w:val="FFF6C987"/>
    <w:rsid w:val="FFFB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spacing w:before="240" w:after="240" w:line="360" w:lineRule="auto"/>
      <w:jc w:val="center"/>
      <w:outlineLvl w:val="0"/>
    </w:pPr>
    <w:rPr>
      <w:rFonts w:ascii="Times New Roman" w:hAnsi="Times New Roman" w:eastAsia="宋体"/>
      <w:b/>
      <w:bCs/>
      <w:kern w:val="44"/>
      <w:sz w:val="32"/>
      <w:szCs w:val="44"/>
      <w14:shadow w14:blurRad="50800" w14:dist="38100" w14:dir="2700000" w14:sx="100000" w14:sy="100000" w14:kx="0" w14:ky="0" w14:algn="tl">
        <w14:srgbClr w14:val="000000">
          <w14:alpha w14:val="60000"/>
        </w14:srgbClr>
      </w14:shadow>
    </w:rPr>
  </w:style>
  <w:style w:type="paragraph" w:styleId="3">
    <w:name w:val="heading 2"/>
    <w:basedOn w:val="1"/>
    <w:next w:val="1"/>
    <w:semiHidden/>
    <w:unhideWhenUsed/>
    <w:qFormat/>
    <w:uiPriority w:val="0"/>
    <w:pPr>
      <w:keepNext/>
      <w:keepLines/>
      <w:spacing w:before="120" w:after="120" w:line="360" w:lineRule="auto"/>
      <w:jc w:val="left"/>
      <w:outlineLvl w:val="1"/>
    </w:pPr>
    <w:rPr>
      <w:rFonts w:ascii="Arial" w:hAnsi="Arial" w:eastAsia="宋体"/>
      <w:b/>
      <w:sz w:val="28"/>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0"/>
    <w:autoRedefine/>
    <w:qFormat/>
    <w:uiPriority w:val="0"/>
    <w:pPr>
      <w:jc w:val="left"/>
    </w:pPr>
  </w:style>
  <w:style w:type="paragraph" w:styleId="5">
    <w:name w:val="Body Text"/>
    <w:basedOn w:val="1"/>
    <w:next w:val="6"/>
    <w:link w:val="23"/>
    <w:autoRedefine/>
    <w:qFormat/>
    <w:uiPriority w:val="0"/>
    <w:pPr>
      <w:ind w:left="520"/>
    </w:pPr>
    <w:rPr>
      <w:rFonts w:ascii="Times New Roman" w:hAnsi="Times New Roman"/>
    </w:rPr>
  </w:style>
  <w:style w:type="paragraph" w:styleId="6">
    <w:name w:val="Body Text First Indent"/>
    <w:basedOn w:val="5"/>
    <w:next w:val="7"/>
    <w:link w:val="24"/>
    <w:autoRedefine/>
    <w:qFormat/>
    <w:uiPriority w:val="0"/>
    <w:pPr>
      <w:ind w:firstLine="420" w:firstLineChars="100"/>
    </w:pPr>
  </w:style>
  <w:style w:type="paragraph" w:styleId="7">
    <w:name w:val="toc 6"/>
    <w:basedOn w:val="1"/>
    <w:next w:val="1"/>
    <w:autoRedefine/>
    <w:qFormat/>
    <w:uiPriority w:val="0"/>
    <w:pPr>
      <w:ind w:left="2100" w:leftChars="1000"/>
    </w:pPr>
    <w:rPr>
      <w:rFonts w:ascii="Calibri" w:hAnsi="Calibri"/>
      <w:szCs w:val="22"/>
    </w:rPr>
  </w:style>
  <w:style w:type="paragraph" w:styleId="8">
    <w:name w:val="Balloon Text"/>
    <w:basedOn w:val="1"/>
    <w:link w:val="19"/>
    <w:autoRedefine/>
    <w:qFormat/>
    <w:uiPriority w:val="0"/>
    <w:rPr>
      <w:sz w:val="18"/>
      <w:szCs w:val="18"/>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autoSpaceDE/>
      <w:autoSpaceDN/>
      <w:adjustRightInd/>
      <w:spacing w:after="100" w:line="259" w:lineRule="auto"/>
    </w:pPr>
    <w:rPr>
      <w:rFonts w:ascii="等线" w:hAnsi="等线" w:eastAsia="等线"/>
      <w:sz w:val="22"/>
      <w:szCs w:val="22"/>
    </w:rPr>
  </w:style>
  <w:style w:type="paragraph" w:styleId="12">
    <w:name w:val="annotation subject"/>
    <w:basedOn w:val="4"/>
    <w:next w:val="4"/>
    <w:link w:val="21"/>
    <w:autoRedefine/>
    <w:qFormat/>
    <w:uiPriority w:val="0"/>
    <w:rPr>
      <w:b/>
      <w:bCs/>
    </w:rPr>
  </w:style>
  <w:style w:type="table" w:styleId="14">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autoRedefine/>
    <w:qFormat/>
    <w:uiPriority w:val="0"/>
    <w:rPr>
      <w:color w:val="0000FF"/>
      <w:u w:val="single"/>
    </w:rPr>
  </w:style>
  <w:style w:type="character" w:styleId="17">
    <w:name w:val="annotation reference"/>
    <w:basedOn w:val="15"/>
    <w:autoRedefine/>
    <w:qFormat/>
    <w:uiPriority w:val="0"/>
    <w:rPr>
      <w:sz w:val="21"/>
      <w:szCs w:val="21"/>
    </w:rPr>
  </w:style>
  <w:style w:type="character" w:customStyle="1" w:styleId="18">
    <w:name w:val="标题 1 Char"/>
    <w:link w:val="2"/>
    <w:autoRedefine/>
    <w:qFormat/>
    <w:uiPriority w:val="0"/>
    <w:rPr>
      <w:rFonts w:ascii="Times New Roman" w:hAnsi="Times New Roman" w:eastAsia="宋体"/>
      <w:b/>
      <w:bCs/>
      <w:kern w:val="44"/>
      <w:sz w:val="32"/>
      <w:szCs w:val="44"/>
      <w:lang w:val="en-US" w:eastAsia="zh-CN" w:bidi="ar-SA"/>
      <w14:shadow w14:blurRad="50800" w14:dist="38100" w14:dir="2700000" w14:sx="100000" w14:sy="100000" w14:kx="0" w14:ky="0" w14:algn="tl">
        <w14:srgbClr w14:val="000000">
          <w14:alpha w14:val="60000"/>
        </w14:srgbClr>
      </w14:shadow>
    </w:rPr>
  </w:style>
  <w:style w:type="character" w:customStyle="1" w:styleId="19">
    <w:name w:val="批注框文本 Char"/>
    <w:basedOn w:val="15"/>
    <w:link w:val="8"/>
    <w:autoRedefine/>
    <w:qFormat/>
    <w:uiPriority w:val="0"/>
    <w:rPr>
      <w:kern w:val="2"/>
      <w:sz w:val="18"/>
      <w:szCs w:val="18"/>
    </w:rPr>
  </w:style>
  <w:style w:type="character" w:customStyle="1" w:styleId="20">
    <w:name w:val="批注文字 Char"/>
    <w:basedOn w:val="15"/>
    <w:link w:val="4"/>
    <w:autoRedefine/>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12"/>
    <w:autoRedefine/>
    <w:qFormat/>
    <w:uiPriority w:val="0"/>
    <w:rPr>
      <w:rFonts w:asciiTheme="minorHAnsi" w:hAnsiTheme="minorHAnsi" w:eastAsiaTheme="minorEastAsia" w:cstheme="minorBidi"/>
      <w:b/>
      <w:bCs/>
      <w:kern w:val="2"/>
      <w:sz w:val="21"/>
      <w:szCs w:val="24"/>
    </w:rPr>
  </w:style>
  <w:style w:type="paragraph" w:styleId="22">
    <w:name w:val="List Paragraph"/>
    <w:basedOn w:val="1"/>
    <w:autoRedefine/>
    <w:qFormat/>
    <w:uiPriority w:val="34"/>
    <w:pPr>
      <w:ind w:firstLine="420" w:firstLineChars="200"/>
    </w:pPr>
    <w:rPr>
      <w:rFonts w:ascii="Calibri" w:hAnsi="Calibri" w:eastAsia="宋体" w:cs="Times New Roman"/>
      <w:szCs w:val="22"/>
    </w:rPr>
  </w:style>
  <w:style w:type="character" w:customStyle="1" w:styleId="23">
    <w:name w:val="正文文本 Char"/>
    <w:basedOn w:val="15"/>
    <w:link w:val="5"/>
    <w:autoRedefine/>
    <w:qFormat/>
    <w:uiPriority w:val="0"/>
    <w:rPr>
      <w:rFonts w:ascii="Times New Roman" w:hAnsi="Times New Roman" w:eastAsiaTheme="minorEastAsia" w:cstheme="minorBidi"/>
      <w:kern w:val="2"/>
      <w:sz w:val="21"/>
      <w:szCs w:val="24"/>
    </w:rPr>
  </w:style>
  <w:style w:type="character" w:customStyle="1" w:styleId="24">
    <w:name w:val="正文首行缩进 Char"/>
    <w:basedOn w:val="23"/>
    <w:link w:val="6"/>
    <w:autoRedefine/>
    <w:qFormat/>
    <w:uiPriority w:val="0"/>
    <w:rPr>
      <w:rFonts w:ascii="Times New Roman" w:hAnsi="Times New Roman" w:eastAsiaTheme="minorEastAsia" w:cstheme="minorBidi"/>
      <w:kern w:val="2"/>
      <w:sz w:val="21"/>
      <w:szCs w:val="24"/>
    </w:rPr>
  </w:style>
  <w:style w:type="character" w:customStyle="1" w:styleId="25">
    <w:name w:val="页眉 Char"/>
    <w:basedOn w:val="15"/>
    <w:link w:val="10"/>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349</Words>
  <Characters>412</Characters>
  <Lines>1</Lines>
  <Paragraphs>1</Paragraphs>
  <TotalTime>30</TotalTime>
  <ScaleCrop>false</ScaleCrop>
  <LinksUpToDate>false</LinksUpToDate>
  <CharactersWithSpaces>501</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2022-02-20T00:41:00Z</dcterms:created>
  <dc:creator>俞建东</dc:creator>
  <cp:lastModifiedBy>俞建东</cp:lastModifiedBy>
  <dcterms:modified xsi:type="dcterms:W3CDTF">2025-05-21T14:08:42Z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2EF93DFF99A84D7496D7DAE3FF25D926_13</vt:lpwstr>
  </property>
  <property fmtid="{D5CDD505-2E9C-101B-9397-08002B2CF9AE}" pid="4" name="KSOTemplateDocerSaveRecord">
    <vt:lpwstr>eyJoZGlkIjoiMjA3M2IyODNlYjFmODQwNWIzYWFhMmY0ZDAwNjUxNmQiLCJ1c2VySWQiOiI2ODUwNDk1NzcifQ==</vt:lpwstr>
  </property>
</Properties>
</file>